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3A04CB50" w:rsidR="006A7F37" w:rsidRPr="009B5474" w:rsidRDefault="008D5E17" w:rsidP="008D5E17">
      <w:pPr>
        <w:jc w:val="right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Załącznik nr 6</w:t>
      </w:r>
    </w:p>
    <w:p w14:paraId="69282969" w14:textId="2B243728" w:rsidR="0059122D" w:rsidRPr="009B5474" w:rsidRDefault="0059122D" w:rsidP="008D5E17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B5474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7E8DA38A" w14:textId="77777777" w:rsidR="00E55655" w:rsidRPr="009B5474" w:rsidRDefault="00E55655">
      <w:pPr>
        <w:rPr>
          <w:rFonts w:ascii="Calibri" w:hAnsi="Calibri" w:cs="Calibri"/>
          <w:b/>
          <w:bCs/>
          <w:sz w:val="22"/>
          <w:szCs w:val="22"/>
        </w:rPr>
      </w:pPr>
    </w:p>
    <w:p w14:paraId="1BCE4ED2" w14:textId="0DFB7F6F" w:rsidR="00CB7508" w:rsidRPr="009B5474" w:rsidRDefault="00B02316" w:rsidP="008D5E17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B5474">
        <w:rPr>
          <w:rFonts w:ascii="Calibri" w:hAnsi="Calibri" w:cs="Calibri"/>
          <w:b/>
          <w:bCs/>
          <w:sz w:val="22"/>
          <w:szCs w:val="22"/>
        </w:rPr>
        <w:t>Oprogramowanie klasy SIEM</w:t>
      </w:r>
      <w:r w:rsidR="00A81BC1" w:rsidRPr="009B5474">
        <w:rPr>
          <w:rFonts w:ascii="Calibri" w:hAnsi="Calibri" w:cs="Calibri"/>
          <w:b/>
          <w:bCs/>
          <w:sz w:val="22"/>
          <w:szCs w:val="22"/>
        </w:rPr>
        <w:t xml:space="preserve"> umożliwiające centralizację składowani</w:t>
      </w:r>
      <w:r w:rsidR="00E97BE5" w:rsidRPr="009B5474">
        <w:rPr>
          <w:rFonts w:ascii="Calibri" w:hAnsi="Calibri" w:cs="Calibri"/>
          <w:b/>
          <w:bCs/>
          <w:sz w:val="22"/>
          <w:szCs w:val="22"/>
        </w:rPr>
        <w:t>e</w:t>
      </w:r>
      <w:r w:rsidR="00A81BC1" w:rsidRPr="009B5474">
        <w:rPr>
          <w:rFonts w:ascii="Calibri" w:hAnsi="Calibri" w:cs="Calibri"/>
          <w:b/>
          <w:bCs/>
          <w:sz w:val="22"/>
          <w:szCs w:val="22"/>
        </w:rPr>
        <w:t xml:space="preserve"> i analityki zdarzeń pochodzących ze wszystkich </w:t>
      </w:r>
      <w:r w:rsidR="005D25CF" w:rsidRPr="009B5474">
        <w:rPr>
          <w:rFonts w:ascii="Calibri" w:hAnsi="Calibri" w:cs="Calibri"/>
          <w:b/>
          <w:bCs/>
          <w:sz w:val="22"/>
          <w:szCs w:val="22"/>
        </w:rPr>
        <w:t xml:space="preserve">możliwych obszarów IT wyposażone w mechanizmy </w:t>
      </w:r>
      <w:r w:rsidR="00C558F8" w:rsidRPr="009B5474">
        <w:rPr>
          <w:rFonts w:ascii="Calibri" w:hAnsi="Calibri" w:cs="Calibri"/>
          <w:b/>
          <w:bCs/>
          <w:sz w:val="22"/>
          <w:szCs w:val="22"/>
        </w:rPr>
        <w:t xml:space="preserve">automatycznej korelacji logów wykrywa – licencja </w:t>
      </w:r>
      <w:r w:rsidR="00CD14BE" w:rsidRPr="009B5474">
        <w:rPr>
          <w:rFonts w:ascii="Calibri" w:hAnsi="Calibri" w:cs="Calibri"/>
          <w:b/>
          <w:bCs/>
          <w:sz w:val="22"/>
          <w:szCs w:val="22"/>
        </w:rPr>
        <w:t xml:space="preserve">wieczysta </w:t>
      </w:r>
      <w:r w:rsidR="007415BF" w:rsidRPr="009B5474">
        <w:rPr>
          <w:rFonts w:ascii="Calibri" w:hAnsi="Calibri" w:cs="Calibri"/>
          <w:b/>
          <w:bCs/>
          <w:sz w:val="22"/>
          <w:szCs w:val="22"/>
        </w:rPr>
        <w:t xml:space="preserve">z wdrożeniem </w:t>
      </w:r>
      <w:r w:rsidR="00EB3F68" w:rsidRPr="009B5474">
        <w:rPr>
          <w:rFonts w:ascii="Calibri" w:hAnsi="Calibri" w:cs="Calibri"/>
          <w:b/>
          <w:bCs/>
          <w:sz w:val="22"/>
          <w:szCs w:val="22"/>
        </w:rPr>
        <w:t xml:space="preserve">i 2 lata </w:t>
      </w:r>
      <w:r w:rsidR="00E55655" w:rsidRPr="009B5474">
        <w:rPr>
          <w:rFonts w:ascii="Calibri" w:hAnsi="Calibri" w:cs="Calibri"/>
          <w:b/>
          <w:bCs/>
          <w:sz w:val="22"/>
          <w:szCs w:val="22"/>
        </w:rPr>
        <w:t>gwarancji</w:t>
      </w:r>
      <w:r w:rsidR="00EB3F68" w:rsidRPr="009B5474">
        <w:rPr>
          <w:rFonts w:ascii="Calibri" w:hAnsi="Calibri" w:cs="Calibri"/>
          <w:b/>
          <w:bCs/>
          <w:sz w:val="22"/>
          <w:szCs w:val="22"/>
        </w:rPr>
        <w:t>.</w:t>
      </w:r>
    </w:p>
    <w:p w14:paraId="44850EDB" w14:textId="77777777" w:rsidR="0033487F" w:rsidRPr="009B5474" w:rsidRDefault="0033487F" w:rsidP="0033487F">
      <w:pPr>
        <w:pStyle w:val="Nagwek1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B5474">
        <w:rPr>
          <w:rFonts w:ascii="Calibri" w:hAnsi="Calibri" w:cs="Calibri"/>
          <w:b/>
          <w:bCs/>
          <w:color w:val="auto"/>
          <w:sz w:val="22"/>
          <w:szCs w:val="22"/>
        </w:rPr>
        <w:t>Wymagania funkcjonalne</w:t>
      </w:r>
    </w:p>
    <w:p w14:paraId="39793388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System musi być oparty o nowoczesną nierelacyjną bazę danych typu </w:t>
      </w:r>
      <w:proofErr w:type="spellStart"/>
      <w:r w:rsidRPr="009B5474">
        <w:rPr>
          <w:rFonts w:ascii="Calibri" w:hAnsi="Calibri" w:cs="Calibri"/>
          <w:sz w:val="22"/>
          <w:szCs w:val="22"/>
        </w:rPr>
        <w:t>noSQL</w:t>
      </w:r>
      <w:proofErr w:type="spellEnd"/>
    </w:p>
    <w:p w14:paraId="79BAC577" w14:textId="7352B4D6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System musi pracować w oparciu o architekturę Linux.</w:t>
      </w:r>
      <w:r w:rsidR="004414B2" w:rsidRPr="009B5474">
        <w:rPr>
          <w:rFonts w:ascii="Calibri" w:hAnsi="Calibri" w:cs="Calibri"/>
          <w:sz w:val="22"/>
          <w:szCs w:val="22"/>
        </w:rPr>
        <w:t>- lub równoważną</w:t>
      </w:r>
    </w:p>
    <w:p w14:paraId="0D365700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System musi mieć możliwość centralnego zbierania i zarządzania logami</w:t>
      </w:r>
    </w:p>
    <w:p w14:paraId="78B45CB5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System działać w trybie zbliżonym do rzeczywistego</w:t>
      </w:r>
    </w:p>
    <w:p w14:paraId="3A55976C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System musi mieć możliwość działania jako niezależne instancje zainstalowane w oddziałach Zamawiającego wraz z możliwość centralnego dostępu.</w:t>
      </w:r>
    </w:p>
    <w:p w14:paraId="009ED3E5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Instancje systemu muszą mieć możliwość działania w przypadku odłączenia scentralizowanego dostępu.</w:t>
      </w:r>
    </w:p>
    <w:p w14:paraId="68339A82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System musi zapewniać efektywną obsługę co najmniej 5000 EPS lub 100  GB danych dziennie</w:t>
      </w:r>
    </w:p>
    <w:p w14:paraId="1EBB4E69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System musi zapewniać retencję danych w okresie minimum 365  dni.</w:t>
      </w:r>
    </w:p>
    <w:p w14:paraId="12BBE7A4" w14:textId="77777777" w:rsidR="0033487F" w:rsidRPr="009B5474" w:rsidRDefault="0033487F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Oferowana licencja nie może ograniczać ilości zarejestrowanych lub jednoczesnych użytkowników systemu.</w:t>
      </w:r>
    </w:p>
    <w:p w14:paraId="4DB23BB8" w14:textId="712CE45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umożliwiać rozbudowę bez potrzeby wyłączania lub restartu środowiska. </w:t>
      </w:r>
    </w:p>
    <w:p w14:paraId="49A9E413" w14:textId="0A837BB1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Architektura rozwiązania musi umożliwiać rozdzielenie ról systemu pomiędzy osobne komponenty (serwery/maszyny wirtualne). Należy przewidzieć rozdzielenie przynajmniej 3 typów ról: Agregacja, Prezentacja, Retencja. </w:t>
      </w:r>
    </w:p>
    <w:p w14:paraId="159F8BC4" w14:textId="63DF59C3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Dołączenie nowego węzła przetwarzania, prezentacji lub przechowywania pozwalającego na skalowanie wydajności. Rozszerzenie takie powinno odbywać się bez konieczności restartu działającego systemu.</w:t>
      </w:r>
    </w:p>
    <w:p w14:paraId="24C19008" w14:textId="01E907DD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wysoką dostępność na poziomie Agregacji i Retencji  </w:t>
      </w:r>
    </w:p>
    <w:p w14:paraId="30BF54BB" w14:textId="6CFB5B43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buforowanie agregowanych danych na okres minimum 2 dni w przypadku awarii któregokolwiek z komponentów oraz ich uzupełnienie w po przywróceniu pełnej sprawności systemu .</w:t>
      </w:r>
    </w:p>
    <w:p w14:paraId="37224AE6" w14:textId="74FB6FC2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Komunikacja pomiędzy wszystkim komponentami musi być szyfrowana z wykorzystaniem protokołu TLS w wersji minimum 1.2. </w:t>
      </w:r>
    </w:p>
    <w:p w14:paraId="39A01F8A" w14:textId="3243FADB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Szyfrowanie komunikacji z przeglądarką internetową użytkownika musi wykorzystywać protokołów TLS w wersji minimum 1.3.</w:t>
      </w:r>
    </w:p>
    <w:p w14:paraId="4EE6BDA2" w14:textId="75A767B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posiadać interfejs graficzny dostępny z poziomu przeglądarki internetowej min.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Firefox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, Chrome, Internet Explorer.</w:t>
      </w:r>
      <w:r w:rsidR="001E1134" w:rsidRPr="009B5474">
        <w:rPr>
          <w:rFonts w:ascii="Calibri" w:hAnsi="Calibri" w:cs="Calibri"/>
          <w:sz w:val="22"/>
          <w:szCs w:val="22"/>
        </w:rPr>
        <w:t xml:space="preserve"> – lub równoważne</w:t>
      </w:r>
    </w:p>
    <w:p w14:paraId="0505DB27" w14:textId="07A8E6B5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Interfejs musi posiadać angielską lub polską wersję językową.</w:t>
      </w:r>
    </w:p>
    <w:p w14:paraId="4CB51ED7" w14:textId="09CC8F7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powinien być tworzony zgodnie z zaleceniami standardu OWASP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Testing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Guide, a w szczególności OWASP - TOP 10 (Open Web Application Security Project). Projektowany System powinna spełniać wymagania standardu OWASP ASVS (Application Security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Verification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Standard) w wersji 4.0 co najmniej na poziomie pierwszym (L1).</w:t>
      </w:r>
      <w:r w:rsidR="001E1134" w:rsidRPr="009B5474">
        <w:rPr>
          <w:rFonts w:ascii="Calibri" w:hAnsi="Calibri" w:cs="Calibri"/>
          <w:sz w:val="22"/>
          <w:szCs w:val="22"/>
        </w:rPr>
        <w:t xml:space="preserve"> – lub równoważne</w:t>
      </w:r>
    </w:p>
    <w:p w14:paraId="5B6CF65F" w14:textId="49D19EF9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Dostęp do systemu musi być zabezpieczany hasłem lub certyfikatem.</w:t>
      </w:r>
    </w:p>
    <w:p w14:paraId="7E34734C" w14:textId="5F6F3F05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lastRenderedPageBreak/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Autoryzacja do systemu musi być zintegrowana z: Microsoft AD, LDAP, Radius</w:t>
      </w:r>
      <w:r w:rsidR="009705C7" w:rsidRPr="009B5474">
        <w:rPr>
          <w:rFonts w:ascii="Calibri" w:hAnsi="Calibri" w:cs="Calibri"/>
          <w:sz w:val="22"/>
          <w:szCs w:val="22"/>
        </w:rPr>
        <w:t xml:space="preserve"> – lub równoważne</w:t>
      </w:r>
    </w:p>
    <w:p w14:paraId="3D38342E" w14:textId="79AC3B63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Hasła typu Windows AD bind </w:t>
      </w:r>
      <w:r w:rsidR="009705C7" w:rsidRPr="009B5474">
        <w:rPr>
          <w:rFonts w:ascii="Calibri" w:hAnsi="Calibri" w:cs="Calibri"/>
          <w:sz w:val="22"/>
          <w:szCs w:val="22"/>
        </w:rPr>
        <w:t xml:space="preserve">– lub równoważne, </w:t>
      </w:r>
      <w:r w:rsidR="0033487F" w:rsidRPr="009B5474">
        <w:rPr>
          <w:rFonts w:ascii="Calibri" w:hAnsi="Calibri" w:cs="Calibri"/>
          <w:sz w:val="22"/>
          <w:szCs w:val="22"/>
        </w:rPr>
        <w:t>muszą być przechowywane w postaci zaszyfrowanej.</w:t>
      </w:r>
    </w:p>
    <w:p w14:paraId="30368F12" w14:textId="4F187E25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wspierać mechanizm logowania typu Single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Sign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On.</w:t>
      </w:r>
    </w:p>
    <w:p w14:paraId="381B6E85" w14:textId="0F9E831C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zarządzanie czasem automatycznego wygasania sesji użytkowników.</w:t>
      </w:r>
    </w:p>
    <w:p w14:paraId="0F6BBB03" w14:textId="576D1A8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dedykowany widok zarządzania użytkownikami i rolami.</w:t>
      </w:r>
    </w:p>
    <w:p w14:paraId="32F21BA3" w14:textId="0A7F79B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powinien umożliwiać zarządzenie uprawnieniami do modyfikacji wytworzonych w systemie obiektów tj. wyszukiwania, wizualizacje, dashboardy. Dla utworzonych ról musi istnieć możliwość przypisania wspomnianych obiektów w podziale na dostęp typu „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read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only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” oraz „pełny”. Obiekty, do których grupa nie ma dostępu, nie mogą być widoczne dla użytkownika.</w:t>
      </w:r>
    </w:p>
    <w:p w14:paraId="0D1B02E0" w14:textId="0FB0BE41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pełen audyt aktywności jego użytkowników, w tym: udanych/nieudanych logowaniach, pełnej historię operacji, realizowanych zapytań, zmian uprawnień.</w:t>
      </w:r>
    </w:p>
    <w:p w14:paraId="604A09DD" w14:textId="2FE8C3E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ręczne ustawianie poziomu szczegółowości gromadzonych danych audytowych.</w:t>
      </w:r>
    </w:p>
    <w:p w14:paraId="13694FDC" w14:textId="7110E331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posiadać autoryzowane przez producenta narzędzie/moduł do kontroli wydajności dostarczonego systemu. Wsparcie producenta musi obejmować zakresem również to narzędzie. </w:t>
      </w:r>
    </w:p>
    <w:p w14:paraId="4A2965F7" w14:textId="2C87CEA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zapewniać mechanizmy umożliwiające pracę w trybie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multitenant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.</w:t>
      </w:r>
    </w:p>
    <w:p w14:paraId="313993AA" w14:textId="2C2542F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pozwalać na tworzenie parserów z poziomu GUI</w:t>
      </w:r>
    </w:p>
    <w:p w14:paraId="08E2BFEC" w14:textId="2F6AB818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zapewniać budowę modeli prognostycznych w oparciu o metody matematyczne i statystyczne tzw. Machine Learning. </w:t>
      </w:r>
    </w:p>
    <w:p w14:paraId="7DE96811" w14:textId="0A2458A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wizualizację danych w postaci, oryginalnych logów, list, wykresów i diagramów.</w:t>
      </w:r>
    </w:p>
    <w:p w14:paraId="7E4A623D" w14:textId="5881E468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graficzną wizualizację zidentyfikowanych połączeń sieciowych pomiędzy adresami IP.</w:t>
      </w:r>
    </w:p>
    <w:p w14:paraId="06A7A6FD" w14:textId="397855D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Wizualizacja danych powinna być również możliwa dla wartości tekstowych jak i liczbowych przekazywanych w logach.</w:t>
      </w:r>
    </w:p>
    <w:p w14:paraId="68BDEFE1" w14:textId="35FCACA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funkcjonalność eksportu danych o Zdarzeniach i Incydentach do formatu CSV i HTML m.in. w celu analizy wyników działania reguł korelacyjnych.</w:t>
      </w:r>
    </w:p>
    <w:p w14:paraId="59A87EE0" w14:textId="489923BC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parsowanie spływających do niego wiadomości w formatach:</w:t>
      </w:r>
    </w:p>
    <w:p w14:paraId="3018460C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proofErr w:type="spellStart"/>
      <w:r w:rsidRPr="009B5474">
        <w:rPr>
          <w:rFonts w:ascii="Calibri" w:hAnsi="Calibri" w:cs="Calibri"/>
          <w:sz w:val="22"/>
          <w:szCs w:val="22"/>
        </w:rPr>
        <w:t>Syslog</w:t>
      </w:r>
      <w:proofErr w:type="spellEnd"/>
      <w:r w:rsidRPr="009B5474">
        <w:rPr>
          <w:rFonts w:ascii="Calibri" w:hAnsi="Calibri" w:cs="Calibri"/>
          <w:sz w:val="22"/>
          <w:szCs w:val="22"/>
        </w:rPr>
        <w:t>,</w:t>
      </w:r>
    </w:p>
    <w:p w14:paraId="2E43F8B3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WEF,</w:t>
      </w:r>
    </w:p>
    <w:p w14:paraId="00A8C9AA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Flat file,</w:t>
      </w:r>
    </w:p>
    <w:p w14:paraId="664D420B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Event log,</w:t>
      </w:r>
    </w:p>
    <w:p w14:paraId="3CEB7E2F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WMI,</w:t>
      </w:r>
    </w:p>
    <w:p w14:paraId="31549C61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SNMP trap,</w:t>
      </w:r>
    </w:p>
    <w:p w14:paraId="15FFFDC6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XML,</w:t>
      </w:r>
    </w:p>
    <w:p w14:paraId="18B741D1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JSON,</w:t>
      </w:r>
    </w:p>
    <w:p w14:paraId="49649AD5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JDBC/ODBC</w:t>
      </w:r>
    </w:p>
    <w:p w14:paraId="3394C827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CSV,</w:t>
      </w:r>
    </w:p>
    <w:p w14:paraId="6DCF53C9" w14:textId="77777777" w:rsidR="0033487F" w:rsidRPr="009B5474" w:rsidRDefault="0033487F" w:rsidP="0033487F">
      <w:pPr>
        <w:pStyle w:val="Akapitzlist"/>
        <w:numPr>
          <w:ilvl w:val="0"/>
          <w:numId w:val="3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Email,</w:t>
      </w:r>
    </w:p>
    <w:p w14:paraId="45CE3B22" w14:textId="77777777" w:rsidR="0033487F" w:rsidRPr="009B5474" w:rsidRDefault="0033487F" w:rsidP="0033487F">
      <w:pPr>
        <w:pStyle w:val="Akapitzlist"/>
        <w:ind w:left="1068"/>
        <w:rPr>
          <w:rFonts w:ascii="Calibri" w:hAnsi="Calibri" w:cs="Calibri"/>
          <w:sz w:val="22"/>
          <w:szCs w:val="22"/>
        </w:rPr>
      </w:pPr>
    </w:p>
    <w:p w14:paraId="13BF5D99" w14:textId="77777777" w:rsidR="0033487F" w:rsidRPr="009B5474" w:rsidRDefault="0033487F" w:rsidP="0033487F">
      <w:pPr>
        <w:pStyle w:val="Akapitzlist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Jak również musi pozwalać na implementację innych formatów w przypadku zaistnienia takiej potrzeby ze strony Zamawiającego.</w:t>
      </w:r>
    </w:p>
    <w:p w14:paraId="2F766CAE" w14:textId="2522F18B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lastRenderedPageBreak/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zbierać logi z rozwiązań chmurowych opartych minimum o AWS oraz Microsoft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Azure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.</w:t>
      </w:r>
      <w:r w:rsidR="001F3D50" w:rsidRPr="009B5474">
        <w:rPr>
          <w:rFonts w:ascii="Calibri" w:hAnsi="Calibri" w:cs="Calibri"/>
          <w:sz w:val="22"/>
          <w:szCs w:val="22"/>
        </w:rPr>
        <w:t xml:space="preserve"> – lub równoważne</w:t>
      </w:r>
    </w:p>
    <w:p w14:paraId="6D342E98" w14:textId="1F0F32F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umożliwiać prezentację logu o zdarzeniu w interfejsie użytkownika w takiej formie w jakiej ten log został przesłany do Systemu tj. wyświetlenie logu w postaci surowej (RAW) przed parsowaniem. </w:t>
      </w:r>
    </w:p>
    <w:p w14:paraId="05EC5FD4" w14:textId="2900CEED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do przyjmowania zdarzeń wykorzystywać zarówno mechanizmy agentowe jak i bezagentowe. </w:t>
      </w:r>
    </w:p>
    <w:p w14:paraId="5824FCFD" w14:textId="2F1DE5AC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definiowanie parserów dla niestandardowych formatów logów w oparciu o składnię wyrażeń regularnych oraz formatów wymiany danych dla wszystkich obsługiwanych formatów.</w:t>
      </w:r>
    </w:p>
    <w:p w14:paraId="1E0A5FDC" w14:textId="7459ABB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Interfejs musi umożliwić parsowanie warunkowe na podstawie dopasowania wartości pól.  Po dopasowaniu wzorca dalsze parsowanie powinno być konfigurowalne w celu wyboru optymalnej metody parsowania, np.: REGEX, JSON, XML </w:t>
      </w:r>
      <w:r w:rsidR="00AA195B" w:rsidRPr="009B5474">
        <w:rPr>
          <w:rFonts w:ascii="Calibri" w:hAnsi="Calibri" w:cs="Calibri"/>
          <w:sz w:val="22"/>
          <w:szCs w:val="22"/>
        </w:rPr>
        <w:t xml:space="preserve">lub równoważne </w:t>
      </w:r>
      <w:r w:rsidR="0033487F" w:rsidRPr="009B5474">
        <w:rPr>
          <w:rFonts w:ascii="Calibri" w:hAnsi="Calibri" w:cs="Calibri"/>
          <w:sz w:val="22"/>
          <w:szCs w:val="22"/>
        </w:rPr>
        <w:t xml:space="preserve">oraz umożliwiać zastosowanie innego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parsera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.</w:t>
      </w:r>
    </w:p>
    <w:p w14:paraId="0F0C4E9F" w14:textId="34132C6C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predefiniowany zestaw parserów zdarzeń.</w:t>
      </w:r>
    </w:p>
    <w:p w14:paraId="6630D91D" w14:textId="53425DB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mieć funkcjonalność Bad IP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Reputation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tj. porównywania adresów IP z bazami reputacyjnymi dostarczonymi przez producenta</w:t>
      </w:r>
    </w:p>
    <w:p w14:paraId="7B0625F1" w14:textId="252D3B22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wspierać geolokalizację zdarzeń na bazie adresów IP.</w:t>
      </w:r>
    </w:p>
    <w:p w14:paraId="35EA8AC8" w14:textId="7D0E35A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normalizowanie wiadomości po sparsowanych polach, np. dzięki zmianie wartości tych pól oraz wzbogacaniu tych danych o dodatkowe pola bazując na całych wartościach lub wzorcach wyszukiwania.</w:t>
      </w:r>
    </w:p>
    <w:p w14:paraId="01DAFACB" w14:textId="0C42E314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przeszukiwanie Danych Wejściowych z uwzględnieniem filtracji po sparsowanych polach. </w:t>
      </w:r>
    </w:p>
    <w:p w14:paraId="48D3F2F2" w14:textId="6053DC9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Proces parsowania musi umożliwiać wzbogacanie treści obieranych Wiadomości poprzez matematyczne operacje wykonywane na innych polach.</w:t>
      </w:r>
    </w:p>
    <w:p w14:paraId="061C0669" w14:textId="7B936342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Proces parsowania musi umożliwiać anonimizację </w:t>
      </w:r>
      <w:r w:rsidR="00520702" w:rsidRPr="009B5474">
        <w:rPr>
          <w:rFonts w:ascii="Calibri" w:hAnsi="Calibri" w:cs="Calibri"/>
          <w:sz w:val="22"/>
          <w:szCs w:val="22"/>
        </w:rPr>
        <w:t>d</w:t>
      </w:r>
      <w:r w:rsidR="0033487F" w:rsidRPr="009B5474">
        <w:rPr>
          <w:rFonts w:ascii="Calibri" w:hAnsi="Calibri" w:cs="Calibri"/>
          <w:sz w:val="22"/>
          <w:szCs w:val="22"/>
        </w:rPr>
        <w:t xml:space="preserve">anych </w:t>
      </w:r>
      <w:r w:rsidR="00520702" w:rsidRPr="009B5474">
        <w:rPr>
          <w:rFonts w:ascii="Calibri" w:hAnsi="Calibri" w:cs="Calibri"/>
          <w:sz w:val="22"/>
          <w:szCs w:val="22"/>
        </w:rPr>
        <w:t>w</w:t>
      </w:r>
      <w:r w:rsidR="0033487F" w:rsidRPr="009B5474">
        <w:rPr>
          <w:rFonts w:ascii="Calibri" w:hAnsi="Calibri" w:cs="Calibri"/>
          <w:sz w:val="22"/>
          <w:szCs w:val="22"/>
        </w:rPr>
        <w:t>ejściowych celem ukrycia fragmentów informacji, których składowanie nie jest konieczne lub narusza wewnętrzny procedury bezpieczeństwa.</w:t>
      </w:r>
    </w:p>
    <w:p w14:paraId="7C2EA21D" w14:textId="664837D9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powinien pozwalać na pracę z logami zdarzeń jednolinijkowych oraz wielolinijkowych</w:t>
      </w:r>
    </w:p>
    <w:p w14:paraId="240E26AD" w14:textId="7064CE38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powinien pozwalać na rozpoznanie formatów czasu i daty oraz normalizowanie ich do jednego wspólnego formatu.</w:t>
      </w:r>
    </w:p>
    <w:p w14:paraId="4DEE834E" w14:textId="323D2FF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Incydent, który powstał w wyniku korelacji, musi dać się wyszukiwać korzystając ze standardowego dostępnego w systemie mechanizmu wyszukiwania. System musi umożliwiać budowanie na jego podstawie kolejnych reguł korelacyjnych lub generowania alarmów.</w:t>
      </w:r>
    </w:p>
    <w:p w14:paraId="5230139D" w14:textId="32BDB10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funkcjonalność korelacji danych w czasie rzeczywistym.</w:t>
      </w:r>
    </w:p>
    <w:p w14:paraId="196D446E" w14:textId="2E84ABC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tworzenie nowych reguł korelacyjnych oraz modyfikowanie istniejących.</w:t>
      </w:r>
    </w:p>
    <w:p w14:paraId="0FE6F400" w14:textId="36DF45C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tworzenie własnych reguł korelacyjnych na bazie reguł odpowiedzialnych za wykrywanie określonych zdarzeń pojawiających się w systemie, w tym:</w:t>
      </w:r>
    </w:p>
    <w:p w14:paraId="2A2B54C8" w14:textId="789D7B7F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dowolnej treści w logach,</w:t>
      </w:r>
    </w:p>
    <w:p w14:paraId="5B6039A6" w14:textId="71F2D88D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wystąpienia wartości pola na wybranej liście,</w:t>
      </w:r>
    </w:p>
    <w:p w14:paraId="1590699A" w14:textId="47C95CBB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niewystępowania wartości pola na wybranej liście,</w:t>
      </w:r>
    </w:p>
    <w:p w14:paraId="602FF9AF" w14:textId="647C02CC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zmiany jednego z kilku pól,</w:t>
      </w:r>
    </w:p>
    <w:p w14:paraId="2B8A8604" w14:textId="63F7494F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zdarzeń występujących z zadaną częstotliwością,</w:t>
      </w:r>
    </w:p>
    <w:p w14:paraId="7C442051" w14:textId="51E3B61D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zdarzeń, których liczba zmienia się w wskazany sposób względem czasu poprzedniego,</w:t>
      </w:r>
    </w:p>
    <w:p w14:paraId="5C98AD99" w14:textId="06DCD40B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zaniku Wiadomości,</w:t>
      </w:r>
    </w:p>
    <w:p w14:paraId="6848AF41" w14:textId="61F97685" w:rsidR="0033487F" w:rsidRPr="009B5474" w:rsidRDefault="0033487F" w:rsidP="00BB09D2">
      <w:pPr>
        <w:pStyle w:val="Akapitzlist"/>
        <w:numPr>
          <w:ilvl w:val="1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Wykrycia nowej wartości pola w zadanym okresie czasu,</w:t>
      </w:r>
    </w:p>
    <w:p w14:paraId="4778474D" w14:textId="5E05CB80" w:rsidR="0033487F" w:rsidRPr="009B5474" w:rsidRDefault="0033487F" w:rsidP="00BB09D2">
      <w:pPr>
        <w:pStyle w:val="Akapitzlist"/>
        <w:numPr>
          <w:ilvl w:val="2"/>
          <w:numId w:val="2"/>
        </w:numPr>
        <w:spacing w:line="256" w:lineRule="auto"/>
        <w:ind w:left="1418" w:hanging="142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lastRenderedPageBreak/>
        <w:t xml:space="preserve">Wykrycia incydentu będącego pochodną zdarzeń występujących w określonej kolejności </w:t>
      </w:r>
    </w:p>
    <w:p w14:paraId="6C542405" w14:textId="1058B9D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pozwalać na tworzenie własnych algorytmów ewaluacji Incydentów</w:t>
      </w:r>
    </w:p>
    <w:p w14:paraId="72F6C5DB" w14:textId="430ACC9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Reguły korelacji oraz algorytmy ewaluacji incydentów muszą być możliwe do dodawania lub modyfikacji z poziomów zarówno GUI jak i API.</w:t>
      </w:r>
    </w:p>
    <w:p w14:paraId="00114E16" w14:textId="5ADBF31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pozwolić na określenie okna czasowego oraz warunków dla zdarzeń, które mają zostać poddane regułom korelacyjnym.</w:t>
      </w:r>
    </w:p>
    <w:p w14:paraId="32ED4848" w14:textId="566AD0E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pozwalać na realizację zapytań obejmujących całą historię gromadzonych w nim danych </w:t>
      </w:r>
    </w:p>
    <w:p w14:paraId="53FAC507" w14:textId="7919309C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umożliwić korelację Zdarzeń pochodzących z różnych źródeł informacji z anomaliami wykrywanymi m.in. w.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Netflow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oraz wykrytymi podatnościami zidentyfikowanymi przez skaner podatności  </w:t>
      </w:r>
    </w:p>
    <w:p w14:paraId="566580F9" w14:textId="746F9E4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zapewnić mechanizmy obsługi incydentów i wymiany informacji pomiędzy, operatorami systemu w tym przypisanie incydentu do operatora i zmiana jego statusu.</w:t>
      </w:r>
    </w:p>
    <w:p w14:paraId="0F11ABB9" w14:textId="2A78B976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posiadać funkcjonalność tworzenia scenariuszy obsługi incydentu tzw.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Playbook</w:t>
      </w:r>
      <w:proofErr w:type="spellEnd"/>
    </w:p>
    <w:p w14:paraId="33F594D3" w14:textId="653E84C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automatycznie podpowiadać odpowiednie scenariusze obsługi incydentów. </w:t>
      </w:r>
    </w:p>
    <w:p w14:paraId="6F5B3A77" w14:textId="554578F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Scenariusze muszą mieć możliwość ich symulacji i weryfikacji, m.in. na przykładowym zasobie IT.</w:t>
      </w:r>
    </w:p>
    <w:p w14:paraId="19DEE2F1" w14:textId="2FCC8CE2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pozwalać na tworzenie własnych scenariuszy obsługi oraz edycję istniejących.</w:t>
      </w:r>
    </w:p>
    <w:p w14:paraId="16B4E6D5" w14:textId="4C929E3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Rozwiązanie musi posiadać funkcjonalność wysyłania powiadomień o Incydentach do innych systemów bądź zdefiniowanych użytkowników (co najmniej: powiadamianie email, opcjonalnie SMS, czat).</w:t>
      </w:r>
    </w:p>
    <w:p w14:paraId="35084475" w14:textId="2CB59144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testowanie reguł korelacyjnych i alertów na etapie ich tworzenia. Wynik testu nie może tworzyć wpisu o sytuacji alarmowej i ewentualnego incydentu.</w:t>
      </w:r>
    </w:p>
    <w:p w14:paraId="1937167F" w14:textId="26191E8B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pozwalać na zautomatyzowane szacowanie ryzyka dla dowolnych kryteriów w ramach przetwarzanych zdarzeń. W rozwiązaniu musi być obecna funkcjonalność. kategoryzacji obiektów (adresy IP, loginy i inne pola), dla których mechanizm szacowania ryzyka uwzględni podane wagi.</w:t>
      </w:r>
    </w:p>
    <w:p w14:paraId="7166BF61" w14:textId="3F6523B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umożliwia konfiguracje automatycznych akcji, które są wykonywane na monitorowanych systemach w przypadku detekcji zagrożenia wskazanego w regule</w:t>
      </w:r>
    </w:p>
    <w:p w14:paraId="0DC8E3C1" w14:textId="3B657C7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Tworzone incydenty będące wynikiem pracy reguł bezpieczeństwa muszą posiadać wbudowany poziom istotności. Musi istnieć możliwość modyfikacji poziomu istotności dla każdej reguły.</w:t>
      </w:r>
    </w:p>
    <w:p w14:paraId="6ED60BCC" w14:textId="249320F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funkcjonalność generowania raportów z dowolnych danych gromadzonych w systemie.</w:t>
      </w:r>
    </w:p>
    <w:p w14:paraId="248F8327" w14:textId="30400F2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Raporty muszą być generowane ręcznie oraz automatycznie według zdefiniowanego harmonogramu.</w:t>
      </w:r>
    </w:p>
    <w:p w14:paraId="30A73454" w14:textId="332BBEB6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generować raporty do formatów minimum PDF oraz JPEG z jednoczesną możliwością opatrywania dokumentu logo Zamawiającego oraz komentarzami.</w:t>
      </w:r>
    </w:p>
    <w:p w14:paraId="198F4718" w14:textId="6D320662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zapewniać wbudowany mechanizm archiwizacji danych w postaci plików płaskich oraz ich zarządzaniem z poziomu konsoli użytkownika.</w:t>
      </w:r>
    </w:p>
    <w:p w14:paraId="28A72F9F" w14:textId="37F28055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Mechanizm archiwizacji musi posiadać funkcjonalność przesyłania danych online do archiwum według zadanych kryteriów w sposób automatyczny lub ręczny.</w:t>
      </w:r>
    </w:p>
    <w:p w14:paraId="30DAC0AD" w14:textId="7B3B95E6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Mechanizm archiwizacji musi umożliwiać pozwalać na przywracanie danych do systemu celem analizy online.</w:t>
      </w:r>
    </w:p>
    <w:p w14:paraId="531E857D" w14:textId="6D6C9FCE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Mechanizm archiwizacji musi zapewniać funkcjonalność wyszukiwania w spakowanych danych bez potrzeby ich wcześniejszego rozpakowania.</w:t>
      </w:r>
    </w:p>
    <w:p w14:paraId="54F3E1AD" w14:textId="62415398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lastRenderedPageBreak/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umożliwiać zbieranie i analizę pełnego ruchu sieciowego (warstwy modelu ISO OSI od L2 do L7) oraz analizy formatu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Netflow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w wersji min. V5, v9 oraz IPFIX z wykorzystaniem oficjalnych modułów dostarczanych przez producenta. </w:t>
      </w:r>
      <w:r w:rsidR="008546CF" w:rsidRPr="009B5474">
        <w:rPr>
          <w:rFonts w:ascii="Calibri" w:hAnsi="Calibri" w:cs="Calibri"/>
          <w:sz w:val="22"/>
          <w:szCs w:val="22"/>
        </w:rPr>
        <w:t>– lub równoważne</w:t>
      </w:r>
    </w:p>
    <w:p w14:paraId="2B259ED0" w14:textId="7F30D4A4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umożliwiać analizę ruchu sieciowego pod kątem występowania opóźnień,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rentransmisji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Jitter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, Server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Response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Time oraz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Round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Trip Time. </w:t>
      </w:r>
    </w:p>
    <w:p w14:paraId="5D4A59CB" w14:textId="0F5AA366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umożliwiać zakup licencji wieczystych wraz ze wsparciem producenta na okres 2 lat.</w:t>
      </w:r>
    </w:p>
    <w:p w14:paraId="08639E7C" w14:textId="233B316F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Oferowana licencja nie może ograniczać ilości urządzeń będących źródłem logów.</w:t>
      </w:r>
    </w:p>
    <w:p w14:paraId="70C3B770" w14:textId="30E43DB3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umożliwiać czasowe przyjęcie zwiększonej ilości danych o minimum 30% bez potrzeby zwiększania zasobów sprzętowych lub licencyjnych. </w:t>
      </w:r>
    </w:p>
    <w:p w14:paraId="1F612CF7" w14:textId="3F1FD5B8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Wsparcie producenta musi być realizowane w języku polskim przez dedykowanych inżynierów.</w:t>
      </w:r>
    </w:p>
    <w:p w14:paraId="6E06BB25" w14:textId="4356B794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Support producenta musi być świadczony w formule minimum 8/5.</w:t>
      </w:r>
    </w:p>
    <w:p w14:paraId="13467C38" w14:textId="70CD8A65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Wsparcie nie może być limitowane ilością zgłoszeń i musi być realizowane zdalnie oraz z siedzibie Zamawiającego.</w:t>
      </w:r>
    </w:p>
    <w:p w14:paraId="12183AE7" w14:textId="18433889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Musi istnieć możliwość automatycznego importu informacji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IoC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(ang.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Indicator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Of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Compromise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), a następnie automatyczne przeszukiwanie wśród zgromadzonych zdarzeń w wyznaczonym czasie.</w:t>
      </w:r>
    </w:p>
    <w:p w14:paraId="46985921" w14:textId="65DC8C5A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posiadać natywną integrację z bazą MISP min. Adresy IP,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hash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zainfekowanych plików, adresy domen, adresy URL.</w:t>
      </w:r>
    </w:p>
    <w:p w14:paraId="62887D27" w14:textId="73C2EEC5" w:rsidR="0033487F" w:rsidRPr="009B5474" w:rsidRDefault="00BB09D2" w:rsidP="009B5474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umożliwiać integrację z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Mitre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ATT@CK.</w:t>
      </w:r>
      <w:r w:rsidR="00B63A9A" w:rsidRPr="009B5474">
        <w:rPr>
          <w:rFonts w:ascii="Calibri" w:hAnsi="Calibri" w:cs="Calibri"/>
          <w:sz w:val="22"/>
          <w:szCs w:val="22"/>
        </w:rPr>
        <w:t xml:space="preserve"> – lub równoważne</w:t>
      </w:r>
    </w:p>
    <w:p w14:paraId="293628CC" w14:textId="1E6C9E66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Reguły korelacyjne, alerty i obsługa incydentów</w:t>
      </w:r>
    </w:p>
    <w:p w14:paraId="1DC7D59B" w14:textId="4805812D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bazę minimum 700 predefiniowanych reguł korelacyjnych</w:t>
      </w:r>
    </w:p>
    <w:p w14:paraId="165A5754" w14:textId="1639783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dostarczać funkcjonalność badania integralności plików i rejestrach na monitorowanych hostach, w tym: monitorowanie zmian na zawartości plików i katalogów, zmiany uprawnień dostępu do pliku, zmiany w atrybutach plików oraz zmian na sumach kontrolnych MD5 i SHA1.</w:t>
      </w:r>
    </w:p>
    <w:p w14:paraId="22D4F7F3" w14:textId="35C47EF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posiadać funkcjonalność monitorowania konfiguracji systemów oraz aplikacji w celu zapewnienia zgodności z politykami i standardami bezpieczeństwa oraz praktykami dotyczącymi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hardeningu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>, takimi jak CIS Benchmark.</w:t>
      </w:r>
    </w:p>
    <w:p w14:paraId="5F38F539" w14:textId="4E468B30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gotowe wizualizacje i polityki zgodności z GDPR, PCI-DSS, NIST.</w:t>
      </w:r>
    </w:p>
    <w:p w14:paraId="272484A5" w14:textId="03568DA7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 xml:space="preserve">System musi posiadać możliwość skanowania środowiska pod kątem detekcji </w:t>
      </w:r>
      <w:proofErr w:type="spellStart"/>
      <w:r w:rsidR="0033487F" w:rsidRPr="009B5474">
        <w:rPr>
          <w:rFonts w:ascii="Calibri" w:hAnsi="Calibri" w:cs="Calibri"/>
          <w:sz w:val="22"/>
          <w:szCs w:val="22"/>
        </w:rPr>
        <w:t>rootkit’u</w:t>
      </w:r>
      <w:proofErr w:type="spellEnd"/>
      <w:r w:rsidR="0033487F" w:rsidRPr="009B5474">
        <w:rPr>
          <w:rFonts w:ascii="Calibri" w:hAnsi="Calibri" w:cs="Calibri"/>
          <w:sz w:val="22"/>
          <w:szCs w:val="22"/>
        </w:rPr>
        <w:t xml:space="preserve"> i wykrywania ukrytych procesów, plików, portów</w:t>
      </w:r>
    </w:p>
    <w:p w14:paraId="3F0167DD" w14:textId="2A84F1A6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funkcjonalności skanowania podatności dla aplikacji oraz systemów operacyjnych Linux i Windows </w:t>
      </w:r>
    </w:p>
    <w:p w14:paraId="33FA4C6C" w14:textId="493726B3" w:rsidR="0033487F" w:rsidRPr="009B5474" w:rsidRDefault="00BB09D2" w:rsidP="0033487F">
      <w:pPr>
        <w:pStyle w:val="Akapitzlist"/>
        <w:numPr>
          <w:ilvl w:val="0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 </w:t>
      </w:r>
      <w:r w:rsidR="0033487F" w:rsidRPr="009B5474">
        <w:rPr>
          <w:rFonts w:ascii="Calibri" w:hAnsi="Calibri" w:cs="Calibri"/>
          <w:sz w:val="22"/>
          <w:szCs w:val="22"/>
        </w:rPr>
        <w:t>System musi posiadać funkcjonalność ciągłego śledzenia polityk OpenSCAP</w:t>
      </w:r>
      <w:r w:rsidR="0087552F" w:rsidRPr="009B5474">
        <w:rPr>
          <w:rFonts w:ascii="Calibri" w:hAnsi="Calibri" w:cs="Calibri"/>
          <w:sz w:val="22"/>
          <w:szCs w:val="22"/>
        </w:rPr>
        <w:t xml:space="preserve"> – lub równoważne</w:t>
      </w:r>
    </w:p>
    <w:p w14:paraId="24529B7C" w14:textId="77777777" w:rsidR="0033487F" w:rsidRPr="009B5474" w:rsidRDefault="0033487F" w:rsidP="0033487F">
      <w:pPr>
        <w:pStyle w:val="Nagwek1"/>
        <w:ind w:left="360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B5474">
        <w:rPr>
          <w:rFonts w:ascii="Calibri" w:hAnsi="Calibri" w:cs="Calibri"/>
          <w:b/>
          <w:bCs/>
          <w:color w:val="auto"/>
          <w:sz w:val="22"/>
          <w:szCs w:val="22"/>
        </w:rPr>
        <w:t>Szkolenia</w:t>
      </w:r>
    </w:p>
    <w:p w14:paraId="5EB7A1D7" w14:textId="45C8AE90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Wykonawca dostarczy voucher szkoleniowy dla 2-óch słuchaczy dla systemu SIEM.</w:t>
      </w:r>
    </w:p>
    <w:p w14:paraId="1AA52050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Szkolenie odbędzie się w formie zdalnej.</w:t>
      </w:r>
    </w:p>
    <w:p w14:paraId="2A130FD9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Szkolenie musi być prowadzone w języku polskim.</w:t>
      </w:r>
    </w:p>
    <w:p w14:paraId="56CE1D92" w14:textId="1B69B48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Każdy uczestnik szkolenia otrzyma materiały szkoleniowe przygotowane w języku polskim.</w:t>
      </w:r>
    </w:p>
    <w:p w14:paraId="1BABFDD2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Osoby prowadzące szkolenie muszą posiadać certyfikat wystawiony przez producenta oferowanego rozwiązania potwierdzające ich kompetencje w zakresie użytkowania i administrowania systemem</w:t>
      </w:r>
      <w:r w:rsidR="00BB09D2" w:rsidRPr="009B5474">
        <w:rPr>
          <w:rFonts w:ascii="Calibri" w:hAnsi="Calibri" w:cs="Calibri"/>
          <w:sz w:val="22"/>
          <w:szCs w:val="22"/>
        </w:rPr>
        <w:t>.</w:t>
      </w:r>
    </w:p>
    <w:p w14:paraId="569A4466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Opracowanie harmonogramu wdrożenia systemu SIEM.</w:t>
      </w:r>
    </w:p>
    <w:p w14:paraId="6D41C846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lastRenderedPageBreak/>
        <w:t>Przeprowadzenie przez Wykonawcę analizy przedwdrożeniowej oraz projektu technicznego wdrożenia.</w:t>
      </w:r>
    </w:p>
    <w:p w14:paraId="46C4FE77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Przeprowadzenie instalacji i konfiguracji systemu SIEM.</w:t>
      </w:r>
    </w:p>
    <w:p w14:paraId="77B68B87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Podłączenie do systemu wskazanych przez Zamawiającego w OPZ źródeł danych.</w:t>
      </w:r>
    </w:p>
    <w:p w14:paraId="73EF3C88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Do podłączonych źródeł Wykonawca musi skonfigurować reguły korelacyjne, raporty oraz dashboardy z wykorzystaniem gotowych komponentów dostarczonych wraz z systemem.</w:t>
      </w:r>
    </w:p>
    <w:p w14:paraId="754909E1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Jeżeli oferowany system SIEM nie posiada predefiniowanych parserów, wizualizacji, dashboardów oraz reguł korelacyjnych Wykonawca jest zobligowany do ich implementacji na etapie wdrożenia. </w:t>
      </w:r>
    </w:p>
    <w:p w14:paraId="0A13C850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 xml:space="preserve">Wykonawca na etapie analizy przedwdrożeniowej przedstawi do akceptacji Zamawiającego listę proponowanych reguł korelacyjnych, wizualizacji oraz dashboardów odnoszących się do zidentyfikowanych źródeł danych. </w:t>
      </w:r>
    </w:p>
    <w:p w14:paraId="7CD9EDC8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Przygotowanie i przeprowadzenie scenariuszy testowych weryfikujących wydajność i poprawność wdrożonego systemu w środowisku Zamawiającego.</w:t>
      </w:r>
    </w:p>
    <w:p w14:paraId="58F746B7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hAnsi="Calibri" w:cs="Calibri"/>
          <w:sz w:val="22"/>
          <w:szCs w:val="22"/>
        </w:rPr>
        <w:t>Proponowane scenariusze będą przedłożone Zamawiającemu do akceptacji.</w:t>
      </w:r>
    </w:p>
    <w:p w14:paraId="196464CA" w14:textId="1E917844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Support producenta musi być świadczony w formule minimum 8/5. </w:t>
      </w:r>
    </w:p>
    <w:p w14:paraId="79C629FD" w14:textId="77777777" w:rsidR="00BB09D2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Wsparcie nie może być limitowane ilością zgłoszeń i musi być realizowane zdalnie oraz z siedzibie Zamawiającego.</w:t>
      </w:r>
    </w:p>
    <w:p w14:paraId="2F0FFBF1" w14:textId="37314F90" w:rsidR="0033487F" w:rsidRPr="009B5474" w:rsidRDefault="0033487F" w:rsidP="00BB09D2">
      <w:pPr>
        <w:pStyle w:val="Akapitzlist"/>
        <w:numPr>
          <w:ilvl w:val="3"/>
          <w:numId w:val="2"/>
        </w:numPr>
        <w:spacing w:line="256" w:lineRule="auto"/>
        <w:rPr>
          <w:rFonts w:ascii="Calibri" w:hAnsi="Calibri" w:cs="Calibri"/>
          <w:sz w:val="22"/>
          <w:szCs w:val="22"/>
        </w:rPr>
      </w:pPr>
      <w:r w:rsidRPr="009B5474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Producent systemu SIEM musi umożliwiać rozbudowę oferowanego rozwiązania o moduł funkcjonalny SOAR lub zapewnić gotową integrację z systemem SOAR tego samego producenta.</w:t>
      </w:r>
    </w:p>
    <w:p w14:paraId="02825AC0" w14:textId="77777777" w:rsidR="0033487F" w:rsidRPr="009B5474" w:rsidRDefault="0033487F">
      <w:pPr>
        <w:rPr>
          <w:rFonts w:ascii="Calibri" w:hAnsi="Calibri" w:cs="Calibri"/>
          <w:b/>
          <w:bCs/>
          <w:sz w:val="22"/>
          <w:szCs w:val="22"/>
        </w:rPr>
      </w:pPr>
    </w:p>
    <w:sectPr w:rsidR="0033487F" w:rsidRPr="009B5474" w:rsidSect="009B5474">
      <w:headerReference w:type="default" r:id="rId10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57AC5" w14:textId="77777777" w:rsidR="00B225DE" w:rsidRDefault="00B225DE" w:rsidP="0059122D">
      <w:pPr>
        <w:spacing w:after="0" w:line="240" w:lineRule="auto"/>
      </w:pPr>
      <w:r>
        <w:separator/>
      </w:r>
    </w:p>
  </w:endnote>
  <w:endnote w:type="continuationSeparator" w:id="0">
    <w:p w14:paraId="1E73FADE" w14:textId="77777777" w:rsidR="00B225DE" w:rsidRDefault="00B225DE" w:rsidP="0059122D">
      <w:pPr>
        <w:spacing w:after="0" w:line="240" w:lineRule="auto"/>
      </w:pPr>
      <w:r>
        <w:continuationSeparator/>
      </w:r>
    </w:p>
  </w:endnote>
  <w:endnote w:type="continuationNotice" w:id="1">
    <w:p w14:paraId="5B97E669" w14:textId="77777777" w:rsidR="00B225DE" w:rsidRDefault="00B225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5BB9" w14:textId="77777777" w:rsidR="00B225DE" w:rsidRDefault="00B225DE" w:rsidP="0059122D">
      <w:pPr>
        <w:spacing w:after="0" w:line="240" w:lineRule="auto"/>
      </w:pPr>
      <w:r>
        <w:separator/>
      </w:r>
    </w:p>
  </w:footnote>
  <w:footnote w:type="continuationSeparator" w:id="0">
    <w:p w14:paraId="672867AF" w14:textId="77777777" w:rsidR="00B225DE" w:rsidRDefault="00B225DE" w:rsidP="0059122D">
      <w:pPr>
        <w:spacing w:after="0" w:line="240" w:lineRule="auto"/>
      </w:pPr>
      <w:r>
        <w:continuationSeparator/>
      </w:r>
    </w:p>
  </w:footnote>
  <w:footnote w:type="continuationNotice" w:id="1">
    <w:p w14:paraId="714915A7" w14:textId="77777777" w:rsidR="00B225DE" w:rsidRDefault="00B225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A7304"/>
    <w:multiLevelType w:val="hybridMultilevel"/>
    <w:tmpl w:val="3ACE754C"/>
    <w:lvl w:ilvl="0" w:tplc="B49086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125C28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86B63"/>
    <w:multiLevelType w:val="hybridMultilevel"/>
    <w:tmpl w:val="2B804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D5CD5"/>
    <w:multiLevelType w:val="hybridMultilevel"/>
    <w:tmpl w:val="53904F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num w:numId="1" w16cid:durableId="1561474598">
    <w:abstractNumId w:val="0"/>
  </w:num>
  <w:num w:numId="2" w16cid:durableId="1686009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402265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7310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52A84"/>
    <w:rsid w:val="000F1655"/>
    <w:rsid w:val="000F7C5A"/>
    <w:rsid w:val="00123F81"/>
    <w:rsid w:val="0018464B"/>
    <w:rsid w:val="001E1134"/>
    <w:rsid w:val="001F3D50"/>
    <w:rsid w:val="002D0361"/>
    <w:rsid w:val="0032067B"/>
    <w:rsid w:val="0033487F"/>
    <w:rsid w:val="00385E75"/>
    <w:rsid w:val="003B4F5A"/>
    <w:rsid w:val="004414B2"/>
    <w:rsid w:val="004F14C1"/>
    <w:rsid w:val="00520702"/>
    <w:rsid w:val="00574A8B"/>
    <w:rsid w:val="0059122D"/>
    <w:rsid w:val="00595D7E"/>
    <w:rsid w:val="005D25CF"/>
    <w:rsid w:val="005E5030"/>
    <w:rsid w:val="006A7F37"/>
    <w:rsid w:val="0071537D"/>
    <w:rsid w:val="00730B0F"/>
    <w:rsid w:val="007415BF"/>
    <w:rsid w:val="007F301F"/>
    <w:rsid w:val="008546CF"/>
    <w:rsid w:val="0087552F"/>
    <w:rsid w:val="0089328B"/>
    <w:rsid w:val="008D5E17"/>
    <w:rsid w:val="009415A6"/>
    <w:rsid w:val="009705C7"/>
    <w:rsid w:val="009B5474"/>
    <w:rsid w:val="00A15094"/>
    <w:rsid w:val="00A81BC1"/>
    <w:rsid w:val="00AA195B"/>
    <w:rsid w:val="00B02316"/>
    <w:rsid w:val="00B10ECA"/>
    <w:rsid w:val="00B225DE"/>
    <w:rsid w:val="00B63A9A"/>
    <w:rsid w:val="00B924DF"/>
    <w:rsid w:val="00B92B54"/>
    <w:rsid w:val="00BB09D2"/>
    <w:rsid w:val="00BD1F3D"/>
    <w:rsid w:val="00C558F8"/>
    <w:rsid w:val="00CB7508"/>
    <w:rsid w:val="00CD14BE"/>
    <w:rsid w:val="00D216A2"/>
    <w:rsid w:val="00DC4F7F"/>
    <w:rsid w:val="00DF1B6F"/>
    <w:rsid w:val="00E068E3"/>
    <w:rsid w:val="00E55655"/>
    <w:rsid w:val="00E622DB"/>
    <w:rsid w:val="00E97BE5"/>
    <w:rsid w:val="00EB3F68"/>
    <w:rsid w:val="00F34C53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80072-0FD3-4842-98FF-01BE70443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2189</Words>
  <Characters>13138</Characters>
  <Application>Microsoft Office Word</Application>
  <DocSecurity>0</DocSecurity>
  <Lines>109</Lines>
  <Paragraphs>30</Paragraphs>
  <ScaleCrop>false</ScaleCrop>
  <Company/>
  <LinksUpToDate>false</LinksUpToDate>
  <CharactersWithSpaces>15297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2025-03-27T11:50:00Z</dcterms:created>
  <dcterms:modified xsi:type="dcterms:W3CDTF">2025-03-27T11:50:00Z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